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9EA" w:rsidRDefault="00805C4A" w:rsidP="0095401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1901825</wp:posOffset>
            </wp:positionH>
            <wp:positionV relativeFrom="paragraph">
              <wp:posOffset>-341960</wp:posOffset>
            </wp:positionV>
            <wp:extent cx="1681066" cy="457200"/>
            <wp:effectExtent l="0" t="0" r="0" b="0"/>
            <wp:wrapNone/>
            <wp:docPr id="2" name="Picture 2" descr="C:\Documents and Settings\CLIPART\PVBI\PVBI Logo with transparent backgrou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LIPART\PVBI\PVBI Logo with transparent backgroun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066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011" w:rsidRDefault="00954011" w:rsidP="00954011">
      <w:pPr>
        <w:jc w:val="center"/>
      </w:pPr>
      <w:proofErr w:type="spellStart"/>
      <w:r>
        <w:t>Penns</w:t>
      </w:r>
      <w:proofErr w:type="spellEnd"/>
      <w:r>
        <w:t xml:space="preserve"> Creek, Pennsylvania</w:t>
      </w:r>
    </w:p>
    <w:p w:rsidR="008E627A" w:rsidRDefault="008E627A" w:rsidP="00954011">
      <w:pPr>
        <w:jc w:val="center"/>
      </w:pPr>
    </w:p>
    <w:p w:rsidR="008E627A" w:rsidRDefault="008E627A" w:rsidP="00954011">
      <w:pPr>
        <w:jc w:val="center"/>
      </w:pPr>
      <w:r>
        <w:t xml:space="preserve">Updates presented to the Commission on Accreditation </w:t>
      </w:r>
      <w:r>
        <w:br/>
        <w:t>of the Association for Biblical Higher Education</w:t>
      </w:r>
    </w:p>
    <w:p w:rsidR="00954011" w:rsidRPr="00D66839" w:rsidRDefault="00954011">
      <w:pPr>
        <w:rPr>
          <w:sz w:val="16"/>
          <w:szCs w:val="16"/>
        </w:rPr>
      </w:pPr>
    </w:p>
    <w:p w:rsidR="00954011" w:rsidRPr="00D66839" w:rsidRDefault="00954011">
      <w:pPr>
        <w:rPr>
          <w:sz w:val="16"/>
          <w:szCs w:val="16"/>
        </w:rPr>
        <w:sectPr w:rsidR="00954011" w:rsidRPr="00D66839" w:rsidSect="00D66839">
          <w:pgSz w:w="12240" w:h="15840"/>
          <w:pgMar w:top="990" w:right="1800" w:bottom="720" w:left="1800" w:header="720" w:footer="720" w:gutter="0"/>
          <w:cols w:space="720"/>
        </w:sectPr>
      </w:pPr>
    </w:p>
    <w:p w:rsidR="00954011" w:rsidRPr="008019F4" w:rsidRDefault="00954011" w:rsidP="008E1559">
      <w:pPr>
        <w:pStyle w:val="Heading1"/>
      </w:pPr>
      <w:r w:rsidRPr="008019F4">
        <w:lastRenderedPageBreak/>
        <w:t xml:space="preserve">Standard 2A – Assessment of Student </w:t>
      </w:r>
      <w:r w:rsidRPr="008E1559">
        <w:t>Learning</w:t>
      </w:r>
    </w:p>
    <w:p w:rsidR="008019F4" w:rsidRDefault="008E627A" w:rsidP="008E1559">
      <w:pPr>
        <w:pStyle w:val="ListParagraph"/>
        <w:numPr>
          <w:ilvl w:val="0"/>
          <w:numId w:val="6"/>
        </w:numPr>
        <w:spacing w:after="180"/>
        <w:ind w:left="360"/>
        <w:contextualSpacing w:val="0"/>
        <w:rPr>
          <w:szCs w:val="24"/>
        </w:rPr>
      </w:pPr>
      <w:r w:rsidRPr="008019F4">
        <w:rPr>
          <w:szCs w:val="24"/>
        </w:rPr>
        <w:t xml:space="preserve">The </w:t>
      </w:r>
      <w:r w:rsidR="00CE6FDC" w:rsidRPr="008019F4">
        <w:rPr>
          <w:szCs w:val="24"/>
        </w:rPr>
        <w:t xml:space="preserve">Assessment Committee </w:t>
      </w:r>
      <w:r w:rsidRPr="008019F4">
        <w:rPr>
          <w:szCs w:val="24"/>
        </w:rPr>
        <w:t xml:space="preserve">has conducted monthly </w:t>
      </w:r>
      <w:r w:rsidR="00CE6FDC" w:rsidRPr="008019F4">
        <w:rPr>
          <w:szCs w:val="24"/>
        </w:rPr>
        <w:t>meetings since August 2014</w:t>
      </w:r>
      <w:r w:rsidRPr="008019F4">
        <w:rPr>
          <w:szCs w:val="24"/>
        </w:rPr>
        <w:t>, reviewing and im</w:t>
      </w:r>
      <w:r w:rsidR="008019F4">
        <w:rPr>
          <w:szCs w:val="24"/>
        </w:rPr>
        <w:t>plementing assessment measures.</w:t>
      </w:r>
    </w:p>
    <w:p w:rsidR="008019F4" w:rsidRDefault="008E627A" w:rsidP="008E1559">
      <w:pPr>
        <w:pStyle w:val="ListParagraph"/>
        <w:numPr>
          <w:ilvl w:val="0"/>
          <w:numId w:val="6"/>
        </w:numPr>
        <w:spacing w:after="180"/>
        <w:ind w:left="360"/>
        <w:contextualSpacing w:val="0"/>
        <w:rPr>
          <w:szCs w:val="24"/>
        </w:rPr>
      </w:pPr>
      <w:r w:rsidRPr="008019F4">
        <w:rPr>
          <w:szCs w:val="24"/>
        </w:rPr>
        <w:t xml:space="preserve">The Coordinator for Institutional Effectiveness conducted the </w:t>
      </w:r>
      <w:r w:rsidR="00CE6FDC" w:rsidRPr="008019F4">
        <w:rPr>
          <w:szCs w:val="24"/>
        </w:rPr>
        <w:t xml:space="preserve">Midyear Assessment Review </w:t>
      </w:r>
      <w:r w:rsidRPr="008019F4">
        <w:rPr>
          <w:szCs w:val="24"/>
        </w:rPr>
        <w:t xml:space="preserve">in two faculty meetings as spelled out in the </w:t>
      </w:r>
      <w:r w:rsidR="00CE6FDC" w:rsidRPr="008019F4">
        <w:rPr>
          <w:szCs w:val="24"/>
        </w:rPr>
        <w:t>Assessment Plan</w:t>
      </w:r>
      <w:r w:rsidRPr="008019F4">
        <w:rPr>
          <w:szCs w:val="24"/>
        </w:rPr>
        <w:t xml:space="preserve">. </w:t>
      </w:r>
    </w:p>
    <w:p w:rsidR="00954011" w:rsidRPr="008019F4" w:rsidRDefault="00CE6FDC" w:rsidP="008E1559">
      <w:pPr>
        <w:pStyle w:val="ListParagraph"/>
        <w:numPr>
          <w:ilvl w:val="0"/>
          <w:numId w:val="6"/>
        </w:numPr>
        <w:spacing w:after="180"/>
        <w:ind w:left="360"/>
        <w:contextualSpacing w:val="0"/>
        <w:rPr>
          <w:szCs w:val="24"/>
        </w:rPr>
      </w:pPr>
      <w:r w:rsidRPr="008019F4">
        <w:rPr>
          <w:szCs w:val="24"/>
        </w:rPr>
        <w:t>Specific decisions based on</w:t>
      </w:r>
      <w:bookmarkStart w:id="0" w:name="_GoBack"/>
      <w:bookmarkEnd w:id="0"/>
      <w:r w:rsidRPr="008019F4">
        <w:rPr>
          <w:szCs w:val="24"/>
        </w:rPr>
        <w:t xml:space="preserve"> assessment data came out of </w:t>
      </w:r>
      <w:r w:rsidR="008019F4">
        <w:rPr>
          <w:szCs w:val="24"/>
        </w:rPr>
        <w:t xml:space="preserve">the </w:t>
      </w:r>
      <w:r w:rsidR="00D66839">
        <w:rPr>
          <w:szCs w:val="24"/>
        </w:rPr>
        <w:t xml:space="preserve">Committee meetings and the </w:t>
      </w:r>
      <w:r w:rsidR="008019F4">
        <w:rPr>
          <w:szCs w:val="24"/>
        </w:rPr>
        <w:t>M</w:t>
      </w:r>
      <w:r w:rsidRPr="008019F4">
        <w:rPr>
          <w:szCs w:val="24"/>
        </w:rPr>
        <w:t>idyear review</w:t>
      </w:r>
      <w:r w:rsidR="008E627A" w:rsidRPr="008019F4">
        <w:rPr>
          <w:szCs w:val="24"/>
        </w:rPr>
        <w:t>.</w:t>
      </w:r>
    </w:p>
    <w:p w:rsidR="00954011" w:rsidRDefault="00954011" w:rsidP="008E1559">
      <w:pPr>
        <w:pStyle w:val="Heading1"/>
      </w:pPr>
      <w:r>
        <w:t>Standard 6B – Financial Resources</w:t>
      </w:r>
    </w:p>
    <w:p w:rsidR="00954011" w:rsidRPr="008019F4" w:rsidRDefault="00954011" w:rsidP="008E1559">
      <w:pPr>
        <w:pStyle w:val="ListParagraph"/>
        <w:numPr>
          <w:ilvl w:val="0"/>
          <w:numId w:val="6"/>
        </w:numPr>
        <w:spacing w:after="180"/>
        <w:ind w:left="360"/>
        <w:contextualSpacing w:val="0"/>
        <w:rPr>
          <w:szCs w:val="24"/>
        </w:rPr>
      </w:pPr>
      <w:r w:rsidRPr="008019F4">
        <w:rPr>
          <w:szCs w:val="24"/>
        </w:rPr>
        <w:t>In regard to further refining the distinctions</w:t>
      </w:r>
      <w:r w:rsidR="00522305" w:rsidRPr="008019F4">
        <w:rPr>
          <w:szCs w:val="24"/>
        </w:rPr>
        <w:t xml:space="preserve"> between Institute and Academy finances, </w:t>
      </w:r>
      <w:r w:rsidR="0006144A" w:rsidRPr="008019F4">
        <w:rPr>
          <w:szCs w:val="24"/>
        </w:rPr>
        <w:t xml:space="preserve">the clarification President Zechman received from Dr. Randy Bell enabled </w:t>
      </w:r>
      <w:r w:rsidR="00522305" w:rsidRPr="008019F4">
        <w:rPr>
          <w:szCs w:val="24"/>
        </w:rPr>
        <w:t xml:space="preserve">the Business Office </w:t>
      </w:r>
      <w:r w:rsidR="0006144A" w:rsidRPr="008019F4">
        <w:rPr>
          <w:szCs w:val="24"/>
        </w:rPr>
        <w:t>to simplify</w:t>
      </w:r>
      <w:r w:rsidR="00522305" w:rsidRPr="008019F4">
        <w:rPr>
          <w:szCs w:val="24"/>
        </w:rPr>
        <w:t xml:space="preserve"> what </w:t>
      </w:r>
      <w:r w:rsidR="0006144A" w:rsidRPr="008019F4">
        <w:rPr>
          <w:szCs w:val="24"/>
        </w:rPr>
        <w:t>had been</w:t>
      </w:r>
      <w:r w:rsidR="00522305" w:rsidRPr="008019F4">
        <w:rPr>
          <w:szCs w:val="24"/>
        </w:rPr>
        <w:t xml:space="preserve"> four categories for the expenses </w:t>
      </w:r>
      <w:r w:rsidR="0006144A" w:rsidRPr="008019F4">
        <w:rPr>
          <w:szCs w:val="24"/>
        </w:rPr>
        <w:t xml:space="preserve">(Institute, Academy, Administrative, Fundraising) </w:t>
      </w:r>
      <w:r w:rsidR="00522305" w:rsidRPr="008019F4">
        <w:rPr>
          <w:szCs w:val="24"/>
        </w:rPr>
        <w:t>to just two (Institute, Academy)</w:t>
      </w:r>
      <w:r w:rsidR="0006144A" w:rsidRPr="008019F4">
        <w:rPr>
          <w:szCs w:val="24"/>
        </w:rPr>
        <w:t xml:space="preserve"> and to see how</w:t>
      </w:r>
      <w:r w:rsidR="00B62D4F" w:rsidRPr="008019F4">
        <w:rPr>
          <w:szCs w:val="24"/>
        </w:rPr>
        <w:t xml:space="preserve"> the various pieces sh</w:t>
      </w:r>
      <w:r w:rsidR="0006144A" w:rsidRPr="008019F4">
        <w:rPr>
          <w:szCs w:val="24"/>
        </w:rPr>
        <w:t>ould be apportioned between them</w:t>
      </w:r>
      <w:r w:rsidR="00522305" w:rsidRPr="008019F4">
        <w:rPr>
          <w:szCs w:val="24"/>
        </w:rPr>
        <w:t xml:space="preserve">.  </w:t>
      </w:r>
      <w:r w:rsidRPr="008019F4">
        <w:rPr>
          <w:szCs w:val="24"/>
        </w:rPr>
        <w:t>The Finance Committee has</w:t>
      </w:r>
      <w:r w:rsidR="00522305" w:rsidRPr="008019F4">
        <w:rPr>
          <w:szCs w:val="24"/>
        </w:rPr>
        <w:t xml:space="preserve"> adopted a method for allocating donation income </w:t>
      </w:r>
      <w:r w:rsidR="0006144A" w:rsidRPr="008019F4">
        <w:rPr>
          <w:szCs w:val="24"/>
        </w:rPr>
        <w:t>to the two departments.</w:t>
      </w:r>
      <w:r w:rsidR="002E64D4" w:rsidRPr="008019F4">
        <w:rPr>
          <w:szCs w:val="24"/>
        </w:rPr>
        <w:t xml:space="preserve">  General venues of fundraising have been designated.</w:t>
      </w:r>
      <w:r w:rsidR="00B62D4F" w:rsidRPr="008019F4">
        <w:rPr>
          <w:szCs w:val="24"/>
        </w:rPr>
        <w:t xml:space="preserve">  Buildings and property were apportioned between the two</w:t>
      </w:r>
      <w:r w:rsidR="002E64D4" w:rsidRPr="008019F4">
        <w:rPr>
          <w:szCs w:val="24"/>
        </w:rPr>
        <w:t xml:space="preserve"> as well</w:t>
      </w:r>
      <w:r w:rsidR="00B62D4F" w:rsidRPr="008019F4">
        <w:rPr>
          <w:szCs w:val="24"/>
        </w:rPr>
        <w:t>.</w:t>
      </w:r>
      <w:r w:rsidR="002E64D4" w:rsidRPr="008019F4">
        <w:rPr>
          <w:szCs w:val="24"/>
        </w:rPr>
        <w:t xml:space="preserve"> </w:t>
      </w:r>
    </w:p>
    <w:p w:rsidR="00E10822" w:rsidRPr="008019F4" w:rsidRDefault="00E10822" w:rsidP="008E1559">
      <w:pPr>
        <w:pStyle w:val="ListParagraph"/>
        <w:numPr>
          <w:ilvl w:val="0"/>
          <w:numId w:val="6"/>
        </w:numPr>
        <w:spacing w:after="180"/>
        <w:ind w:left="360"/>
        <w:contextualSpacing w:val="0"/>
        <w:rPr>
          <w:szCs w:val="24"/>
        </w:rPr>
      </w:pPr>
      <w:r w:rsidRPr="008019F4">
        <w:rPr>
          <w:szCs w:val="24"/>
        </w:rPr>
        <w:t xml:space="preserve">In regard to cash flow, there has been an increase in enrollment which translated into an increase </w:t>
      </w:r>
      <w:r w:rsidR="00A3741F" w:rsidRPr="008019F4">
        <w:rPr>
          <w:szCs w:val="24"/>
        </w:rPr>
        <w:t xml:space="preserve">of $81,000 </w:t>
      </w:r>
      <w:r w:rsidRPr="008019F4">
        <w:rPr>
          <w:szCs w:val="24"/>
        </w:rPr>
        <w:t xml:space="preserve">in tuition </w:t>
      </w:r>
      <w:r w:rsidR="00C37662" w:rsidRPr="008019F4">
        <w:rPr>
          <w:szCs w:val="24"/>
        </w:rPr>
        <w:t>charged</w:t>
      </w:r>
      <w:r w:rsidR="004B4231" w:rsidRPr="008019F4">
        <w:rPr>
          <w:szCs w:val="24"/>
        </w:rPr>
        <w:t>.</w:t>
      </w:r>
      <w:r w:rsidR="00B63371" w:rsidRPr="008019F4">
        <w:rPr>
          <w:szCs w:val="24"/>
        </w:rPr>
        <w:t xml:space="preserve">  Fundraising events such as Walkathon, Christmas Auction, and an Annual School Service were up from $66,000 to $105,500 an increase of 60%.</w:t>
      </w:r>
      <w:r w:rsidR="004B4231" w:rsidRPr="008019F4">
        <w:rPr>
          <w:szCs w:val="24"/>
        </w:rPr>
        <w:t xml:space="preserve">  Response to the Christmas Appeal letter and year end donations were up from </w:t>
      </w:r>
      <w:r w:rsidR="00B63371" w:rsidRPr="008019F4">
        <w:rPr>
          <w:szCs w:val="24"/>
        </w:rPr>
        <w:t>$41,000 last year to $75,000 this year, an increase of better than</w:t>
      </w:r>
      <w:r w:rsidR="004B4231" w:rsidRPr="008019F4">
        <w:rPr>
          <w:szCs w:val="24"/>
        </w:rPr>
        <w:t xml:space="preserve"> </w:t>
      </w:r>
      <w:r w:rsidR="00B63371" w:rsidRPr="008019F4">
        <w:rPr>
          <w:szCs w:val="24"/>
        </w:rPr>
        <w:t>80</w:t>
      </w:r>
      <w:r w:rsidR="004B4231" w:rsidRPr="008019F4">
        <w:rPr>
          <w:szCs w:val="24"/>
        </w:rPr>
        <w:t>%</w:t>
      </w:r>
      <w:r w:rsidR="00B63371" w:rsidRPr="008019F4">
        <w:rPr>
          <w:szCs w:val="24"/>
        </w:rPr>
        <w:t xml:space="preserve">. </w:t>
      </w:r>
      <w:r w:rsidR="00A3741F" w:rsidRPr="008019F4">
        <w:rPr>
          <w:szCs w:val="24"/>
        </w:rPr>
        <w:t xml:space="preserve"> The Finance Committee has scheduled an Investors Banquet for later this </w:t>
      </w:r>
      <w:r w:rsidR="00A3741F" w:rsidRPr="008019F4">
        <w:rPr>
          <w:szCs w:val="24"/>
        </w:rPr>
        <w:lastRenderedPageBreak/>
        <w:t>spring to involve top donors and business persons in the area.  This is all part of our Planning Document and includes advancement on the President’s Advisory Council.</w:t>
      </w:r>
    </w:p>
    <w:p w:rsidR="00B63371" w:rsidRPr="008019F4" w:rsidRDefault="00A3741F" w:rsidP="008E1559">
      <w:pPr>
        <w:pStyle w:val="ListParagraph"/>
        <w:numPr>
          <w:ilvl w:val="0"/>
          <w:numId w:val="6"/>
        </w:numPr>
        <w:spacing w:after="180"/>
        <w:ind w:left="360"/>
        <w:contextualSpacing w:val="0"/>
        <w:rPr>
          <w:szCs w:val="24"/>
        </w:rPr>
      </w:pPr>
      <w:r w:rsidRPr="008019F4">
        <w:rPr>
          <w:szCs w:val="24"/>
        </w:rPr>
        <w:t>The institution is very near closing on the donation of a large tract of land.</w:t>
      </w:r>
    </w:p>
    <w:p w:rsidR="00954011" w:rsidRDefault="00954011" w:rsidP="008E1559">
      <w:pPr>
        <w:pStyle w:val="Heading1"/>
      </w:pPr>
      <w:r>
        <w:t>Standard 7</w:t>
      </w:r>
      <w:r w:rsidR="00C60987">
        <w:t xml:space="preserve"> –</w:t>
      </w:r>
      <w:r>
        <w:t xml:space="preserve"> Enrollment Management</w:t>
      </w:r>
    </w:p>
    <w:p w:rsidR="008019F4" w:rsidRPr="008019F4" w:rsidRDefault="008E627A" w:rsidP="008E1559">
      <w:pPr>
        <w:pStyle w:val="ListParagraph"/>
        <w:numPr>
          <w:ilvl w:val="0"/>
          <w:numId w:val="6"/>
        </w:numPr>
        <w:spacing w:after="180"/>
        <w:ind w:left="360"/>
        <w:contextualSpacing w:val="0"/>
        <w:rPr>
          <w:szCs w:val="24"/>
        </w:rPr>
      </w:pPr>
      <w:r w:rsidRPr="008019F4">
        <w:rPr>
          <w:szCs w:val="24"/>
        </w:rPr>
        <w:t xml:space="preserve">The Enrollment Manager and the Admissions Staff have continued implementing the </w:t>
      </w:r>
      <w:r w:rsidR="008019F4" w:rsidRPr="008019F4">
        <w:rPr>
          <w:szCs w:val="24"/>
        </w:rPr>
        <w:t xml:space="preserve">current </w:t>
      </w:r>
      <w:r w:rsidRPr="008019F4">
        <w:rPr>
          <w:szCs w:val="24"/>
        </w:rPr>
        <w:t xml:space="preserve">Enrollment Management Plan.  </w:t>
      </w:r>
    </w:p>
    <w:p w:rsidR="00954011" w:rsidRPr="008019F4" w:rsidRDefault="00A3741F" w:rsidP="008E1559">
      <w:pPr>
        <w:pStyle w:val="ListParagraph"/>
        <w:numPr>
          <w:ilvl w:val="0"/>
          <w:numId w:val="6"/>
        </w:numPr>
        <w:spacing w:after="180"/>
        <w:ind w:left="360"/>
        <w:contextualSpacing w:val="0"/>
        <w:rPr>
          <w:szCs w:val="24"/>
        </w:rPr>
      </w:pPr>
      <w:r w:rsidRPr="008019F4">
        <w:rPr>
          <w:szCs w:val="24"/>
        </w:rPr>
        <w:t xml:space="preserve">Enrollment in the fall </w:t>
      </w:r>
      <w:r w:rsidR="008019F4" w:rsidRPr="008019F4">
        <w:rPr>
          <w:szCs w:val="24"/>
        </w:rPr>
        <w:t xml:space="preserve">2013 </w:t>
      </w:r>
      <w:r w:rsidRPr="008019F4">
        <w:rPr>
          <w:szCs w:val="24"/>
        </w:rPr>
        <w:t xml:space="preserve">term was up in full-time equivalency </w:t>
      </w:r>
      <w:r w:rsidR="00A626B3" w:rsidRPr="008019F4">
        <w:rPr>
          <w:szCs w:val="24"/>
        </w:rPr>
        <w:t xml:space="preserve">from </w:t>
      </w:r>
      <w:r w:rsidR="008019F4" w:rsidRPr="008019F4">
        <w:rPr>
          <w:szCs w:val="24"/>
        </w:rPr>
        <w:t>the previous</w:t>
      </w:r>
      <w:r w:rsidR="00A626B3" w:rsidRPr="008019F4">
        <w:rPr>
          <w:szCs w:val="24"/>
        </w:rPr>
        <w:t xml:space="preserve"> fall, </w:t>
      </w:r>
      <w:r w:rsidRPr="008019F4">
        <w:rPr>
          <w:szCs w:val="24"/>
        </w:rPr>
        <w:t>and in the spring</w:t>
      </w:r>
      <w:r w:rsidR="008019F4" w:rsidRPr="008019F4">
        <w:rPr>
          <w:szCs w:val="24"/>
        </w:rPr>
        <w:t xml:space="preserve"> 2014</w:t>
      </w:r>
      <w:r w:rsidRPr="008019F4">
        <w:rPr>
          <w:szCs w:val="24"/>
        </w:rPr>
        <w:t>, both headcount and full-time equivalency</w:t>
      </w:r>
      <w:r w:rsidR="00A626B3" w:rsidRPr="008019F4">
        <w:rPr>
          <w:szCs w:val="24"/>
        </w:rPr>
        <w:t xml:space="preserve"> </w:t>
      </w:r>
      <w:r w:rsidR="008019F4" w:rsidRPr="008019F4">
        <w:rPr>
          <w:szCs w:val="24"/>
        </w:rPr>
        <w:t>a</w:t>
      </w:r>
      <w:r w:rsidR="00A626B3" w:rsidRPr="008019F4">
        <w:rPr>
          <w:szCs w:val="24"/>
        </w:rPr>
        <w:t xml:space="preserve">re higher than </w:t>
      </w:r>
      <w:r w:rsidR="008019F4" w:rsidRPr="008019F4">
        <w:rPr>
          <w:szCs w:val="24"/>
        </w:rPr>
        <w:t>the previous</w:t>
      </w:r>
      <w:r w:rsidR="00A626B3" w:rsidRPr="008019F4">
        <w:rPr>
          <w:szCs w:val="24"/>
        </w:rPr>
        <w:t xml:space="preserve"> spring</w:t>
      </w:r>
      <w:r w:rsidRPr="008019F4">
        <w:rPr>
          <w:szCs w:val="24"/>
        </w:rPr>
        <w:t>.</w:t>
      </w:r>
    </w:p>
    <w:p w:rsidR="00A626B3" w:rsidRDefault="00A626B3">
      <w:r>
        <w:rPr>
          <w:noProof/>
        </w:rPr>
        <w:drawing>
          <wp:inline distT="0" distB="0" distL="0" distR="0" wp14:anchorId="26811146" wp14:editId="4080767B">
            <wp:extent cx="3160166" cy="2348179"/>
            <wp:effectExtent l="0" t="0" r="21590" b="1460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54011" w:rsidRPr="00194549" w:rsidRDefault="00954011">
      <w:pPr>
        <w:rPr>
          <w:szCs w:val="24"/>
        </w:rPr>
      </w:pPr>
    </w:p>
    <w:p w:rsidR="00954011" w:rsidRDefault="00954011" w:rsidP="008E1559">
      <w:pPr>
        <w:pStyle w:val="Heading1"/>
      </w:pPr>
      <w:r>
        <w:t xml:space="preserve">Standard 10 </w:t>
      </w:r>
      <w:r w:rsidR="00C60987">
        <w:t>–</w:t>
      </w:r>
      <w:r>
        <w:t xml:space="preserve"> Library</w:t>
      </w:r>
    </w:p>
    <w:p w:rsidR="008019F4" w:rsidRPr="008019F4" w:rsidRDefault="00CE6FDC" w:rsidP="008E1559">
      <w:pPr>
        <w:pStyle w:val="ListParagraph"/>
        <w:numPr>
          <w:ilvl w:val="0"/>
          <w:numId w:val="6"/>
        </w:numPr>
        <w:spacing w:after="180"/>
        <w:ind w:left="360"/>
        <w:contextualSpacing w:val="0"/>
        <w:rPr>
          <w:szCs w:val="24"/>
        </w:rPr>
      </w:pPr>
      <w:r w:rsidRPr="008019F4">
        <w:rPr>
          <w:szCs w:val="24"/>
        </w:rPr>
        <w:t>The library has continued to receive the same</w:t>
      </w:r>
      <w:r w:rsidR="00803312" w:rsidRPr="008019F4">
        <w:rPr>
          <w:szCs w:val="24"/>
        </w:rPr>
        <w:t xml:space="preserve"> commitment in </w:t>
      </w:r>
      <w:r w:rsidRPr="008019F4">
        <w:rPr>
          <w:szCs w:val="24"/>
        </w:rPr>
        <w:t>funding and staffing</w:t>
      </w:r>
      <w:r w:rsidR="00803312" w:rsidRPr="008019F4">
        <w:rPr>
          <w:szCs w:val="24"/>
        </w:rPr>
        <w:t>.</w:t>
      </w:r>
      <w:r w:rsidRPr="008019F4">
        <w:rPr>
          <w:szCs w:val="24"/>
        </w:rPr>
        <w:t xml:space="preserve"> </w:t>
      </w:r>
    </w:p>
    <w:p w:rsidR="008019F4" w:rsidRPr="008019F4" w:rsidRDefault="003675E6" w:rsidP="008E1559">
      <w:pPr>
        <w:pStyle w:val="ListParagraph"/>
        <w:numPr>
          <w:ilvl w:val="0"/>
          <w:numId w:val="6"/>
        </w:numPr>
        <w:spacing w:after="180"/>
        <w:ind w:left="360"/>
        <w:contextualSpacing w:val="0"/>
        <w:rPr>
          <w:szCs w:val="24"/>
        </w:rPr>
      </w:pPr>
      <w:r w:rsidRPr="008019F4">
        <w:rPr>
          <w:szCs w:val="24"/>
        </w:rPr>
        <w:t xml:space="preserve">Progress has continued in updating to current cataloguing standards.  </w:t>
      </w:r>
    </w:p>
    <w:p w:rsidR="00954011" w:rsidRPr="008019F4" w:rsidRDefault="00803312" w:rsidP="008E1559">
      <w:pPr>
        <w:pStyle w:val="ListParagraph"/>
        <w:numPr>
          <w:ilvl w:val="0"/>
          <w:numId w:val="6"/>
        </w:numPr>
        <w:spacing w:after="180"/>
        <w:ind w:left="360"/>
        <w:contextualSpacing w:val="0"/>
        <w:rPr>
          <w:szCs w:val="24"/>
        </w:rPr>
      </w:pPr>
      <w:r w:rsidRPr="008019F4">
        <w:rPr>
          <w:szCs w:val="24"/>
        </w:rPr>
        <w:t>A</w:t>
      </w:r>
      <w:r w:rsidR="00CE6FDC" w:rsidRPr="008019F4">
        <w:rPr>
          <w:szCs w:val="24"/>
        </w:rPr>
        <w:t xml:space="preserve"> </w:t>
      </w:r>
      <w:r w:rsidRPr="008019F4">
        <w:rPr>
          <w:szCs w:val="24"/>
        </w:rPr>
        <w:t xml:space="preserve">barcode </w:t>
      </w:r>
      <w:r w:rsidR="00CE6FDC" w:rsidRPr="008019F4">
        <w:rPr>
          <w:szCs w:val="24"/>
        </w:rPr>
        <w:t xml:space="preserve">scanner </w:t>
      </w:r>
      <w:r w:rsidRPr="008019F4">
        <w:rPr>
          <w:szCs w:val="24"/>
        </w:rPr>
        <w:t xml:space="preserve">has been purchased as well as </w:t>
      </w:r>
      <w:r w:rsidR="00CE6FDC" w:rsidRPr="008019F4">
        <w:rPr>
          <w:szCs w:val="24"/>
        </w:rPr>
        <w:t xml:space="preserve">supplies to move </w:t>
      </w:r>
      <w:r w:rsidRPr="008019F4">
        <w:rPr>
          <w:szCs w:val="24"/>
        </w:rPr>
        <w:t xml:space="preserve">circulation </w:t>
      </w:r>
      <w:r w:rsidR="00CE6FDC" w:rsidRPr="008019F4">
        <w:rPr>
          <w:szCs w:val="24"/>
        </w:rPr>
        <w:t xml:space="preserve">to the online catalog </w:t>
      </w:r>
      <w:r w:rsidR="003675E6" w:rsidRPr="008019F4">
        <w:rPr>
          <w:szCs w:val="24"/>
        </w:rPr>
        <w:t>in ABHE-Solutions.</w:t>
      </w:r>
    </w:p>
    <w:sectPr w:rsidR="00954011" w:rsidRPr="008019F4" w:rsidSect="008019F4">
      <w:type w:val="continuous"/>
      <w:pgSz w:w="12240" w:h="15840"/>
      <w:pgMar w:top="1080" w:right="1080" w:bottom="720" w:left="108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herwood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ladd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86021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E8ACC1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24F425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73CA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BB08B1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49044C"/>
    <w:multiLevelType w:val="hybridMultilevel"/>
    <w:tmpl w:val="10EC8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31583"/>
    <w:multiLevelType w:val="hybridMultilevel"/>
    <w:tmpl w:val="C8609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2F402F"/>
    <w:multiLevelType w:val="hybridMultilevel"/>
    <w:tmpl w:val="33FEF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F22C6"/>
    <w:multiLevelType w:val="hybridMultilevel"/>
    <w:tmpl w:val="90AA6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011"/>
    <w:rsid w:val="0006144A"/>
    <w:rsid w:val="00194549"/>
    <w:rsid w:val="002E64D4"/>
    <w:rsid w:val="0032459A"/>
    <w:rsid w:val="003675E6"/>
    <w:rsid w:val="004350E5"/>
    <w:rsid w:val="004871F7"/>
    <w:rsid w:val="004B4231"/>
    <w:rsid w:val="004D2241"/>
    <w:rsid w:val="00522305"/>
    <w:rsid w:val="005949EA"/>
    <w:rsid w:val="00782764"/>
    <w:rsid w:val="008019F4"/>
    <w:rsid w:val="00803312"/>
    <w:rsid w:val="00805C4A"/>
    <w:rsid w:val="008D2178"/>
    <w:rsid w:val="008E1559"/>
    <w:rsid w:val="008E627A"/>
    <w:rsid w:val="00954011"/>
    <w:rsid w:val="00A3741F"/>
    <w:rsid w:val="00A46008"/>
    <w:rsid w:val="00A626B3"/>
    <w:rsid w:val="00A93790"/>
    <w:rsid w:val="00B62D4F"/>
    <w:rsid w:val="00B63371"/>
    <w:rsid w:val="00C37662"/>
    <w:rsid w:val="00C60987"/>
    <w:rsid w:val="00CA3468"/>
    <w:rsid w:val="00CE6FDC"/>
    <w:rsid w:val="00D60E08"/>
    <w:rsid w:val="00D66839"/>
    <w:rsid w:val="00DF5E22"/>
    <w:rsid w:val="00E10822"/>
    <w:rsid w:val="00E636A8"/>
    <w:rsid w:val="00F30501"/>
    <w:rsid w:val="00F7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008"/>
    <w:rPr>
      <w:sz w:val="24"/>
    </w:rPr>
  </w:style>
  <w:style w:type="paragraph" w:styleId="Heading1">
    <w:name w:val="heading 1"/>
    <w:basedOn w:val="Normal"/>
    <w:next w:val="Normal"/>
    <w:qFormat/>
    <w:rsid w:val="008E1559"/>
    <w:pPr>
      <w:spacing w:before="120" w:after="120"/>
      <w:ind w:left="360" w:hanging="360"/>
      <w:outlineLvl w:val="0"/>
    </w:pPr>
    <w:rPr>
      <w:rFonts w:ascii="Sherwood" w:hAnsi="Sherwood"/>
      <w:b/>
      <w:smallCaps/>
      <w:color w:val="000080"/>
      <w:spacing w:val="20"/>
      <w:sz w:val="20"/>
    </w:rPr>
  </w:style>
  <w:style w:type="paragraph" w:styleId="Heading2">
    <w:name w:val="heading 2"/>
    <w:basedOn w:val="Normal"/>
    <w:next w:val="Normal"/>
    <w:qFormat/>
    <w:pPr>
      <w:spacing w:before="120"/>
      <w:ind w:left="360" w:hanging="360"/>
      <w:outlineLvl w:val="1"/>
    </w:pPr>
    <w:rPr>
      <w:rFonts w:ascii="Arial" w:hAnsi="Arial"/>
      <w:b/>
      <w:color w:val="008000"/>
    </w:rPr>
  </w:style>
  <w:style w:type="paragraph" w:styleId="Heading3">
    <w:name w:val="heading 3"/>
    <w:basedOn w:val="Normal"/>
    <w:next w:val="NormalIndent"/>
    <w:qFormat/>
    <w:pPr>
      <w:ind w:left="720" w:hanging="360"/>
      <w:outlineLvl w:val="2"/>
    </w:pPr>
    <w:rPr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Title">
    <w:name w:val="Title"/>
    <w:basedOn w:val="Heading1"/>
    <w:next w:val="Normal"/>
    <w:qFormat/>
    <w:pPr>
      <w:spacing w:after="60"/>
      <w:jc w:val="center"/>
    </w:pPr>
    <w:rPr>
      <w:rFonts w:ascii="Aladdin" w:hAnsi="Aladdin"/>
      <w:b w:val="0"/>
      <w:smallCaps w:val="0"/>
      <w:kern w:val="28"/>
      <w:sz w:val="32"/>
    </w:r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FootnoteText">
    <w:name w:val="footnote text"/>
    <w:basedOn w:val="Normal"/>
    <w:semiHidden/>
    <w:rsid w:val="00CA3468"/>
    <w:rPr>
      <w:sz w:val="12"/>
    </w:rPr>
  </w:style>
  <w:style w:type="paragraph" w:styleId="BalloonText">
    <w:name w:val="Balloon Text"/>
    <w:basedOn w:val="Normal"/>
    <w:link w:val="BalloonTextChar"/>
    <w:rsid w:val="00A626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26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19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008"/>
    <w:rPr>
      <w:sz w:val="24"/>
    </w:rPr>
  </w:style>
  <w:style w:type="paragraph" w:styleId="Heading1">
    <w:name w:val="heading 1"/>
    <w:basedOn w:val="Normal"/>
    <w:next w:val="Normal"/>
    <w:qFormat/>
    <w:rsid w:val="008E1559"/>
    <w:pPr>
      <w:spacing w:before="120" w:after="120"/>
      <w:ind w:left="360" w:hanging="360"/>
      <w:outlineLvl w:val="0"/>
    </w:pPr>
    <w:rPr>
      <w:rFonts w:ascii="Sherwood" w:hAnsi="Sherwood"/>
      <w:b/>
      <w:smallCaps/>
      <w:color w:val="000080"/>
      <w:spacing w:val="20"/>
      <w:sz w:val="20"/>
    </w:rPr>
  </w:style>
  <w:style w:type="paragraph" w:styleId="Heading2">
    <w:name w:val="heading 2"/>
    <w:basedOn w:val="Normal"/>
    <w:next w:val="Normal"/>
    <w:qFormat/>
    <w:pPr>
      <w:spacing w:before="120"/>
      <w:ind w:left="360" w:hanging="360"/>
      <w:outlineLvl w:val="1"/>
    </w:pPr>
    <w:rPr>
      <w:rFonts w:ascii="Arial" w:hAnsi="Arial"/>
      <w:b/>
      <w:color w:val="008000"/>
    </w:rPr>
  </w:style>
  <w:style w:type="paragraph" w:styleId="Heading3">
    <w:name w:val="heading 3"/>
    <w:basedOn w:val="Normal"/>
    <w:next w:val="NormalIndent"/>
    <w:qFormat/>
    <w:pPr>
      <w:ind w:left="720" w:hanging="360"/>
      <w:outlineLvl w:val="2"/>
    </w:pPr>
    <w:rPr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Title">
    <w:name w:val="Title"/>
    <w:basedOn w:val="Heading1"/>
    <w:next w:val="Normal"/>
    <w:qFormat/>
    <w:pPr>
      <w:spacing w:after="60"/>
      <w:jc w:val="center"/>
    </w:pPr>
    <w:rPr>
      <w:rFonts w:ascii="Aladdin" w:hAnsi="Aladdin"/>
      <w:b w:val="0"/>
      <w:smallCaps w:val="0"/>
      <w:kern w:val="28"/>
      <w:sz w:val="32"/>
    </w:r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FootnoteText">
    <w:name w:val="footnote text"/>
    <w:basedOn w:val="Normal"/>
    <w:semiHidden/>
    <w:rsid w:val="00CA3468"/>
    <w:rPr>
      <w:sz w:val="12"/>
    </w:rPr>
  </w:style>
  <w:style w:type="paragraph" w:styleId="BalloonText">
    <w:name w:val="Balloon Text"/>
    <w:basedOn w:val="Normal"/>
    <w:link w:val="BalloonTextChar"/>
    <w:rsid w:val="00A626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26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1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463940343360146"/>
          <c:y val="6.4351858190597466E-2"/>
          <c:w val="0.59532450206951071"/>
          <c:h val="0.7197027990379305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Headcount</c:v>
                </c:pt>
              </c:strCache>
            </c:strRef>
          </c:tx>
          <c:spPr>
            <a:ln w="12700"/>
          </c:spPr>
          <c:marker>
            <c:symbol val="circle"/>
            <c:size val="4"/>
          </c:marker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Fall 2012</c:v>
                </c:pt>
                <c:pt idx="1">
                  <c:v>Fall 2013</c:v>
                </c:pt>
                <c:pt idx="3">
                  <c:v>Spring 2013</c:v>
                </c:pt>
                <c:pt idx="4">
                  <c:v>Spring 2014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91</c:v>
                </c:pt>
                <c:pt idx="1">
                  <c:v>90</c:v>
                </c:pt>
                <c:pt idx="3">
                  <c:v>70</c:v>
                </c:pt>
                <c:pt idx="4">
                  <c:v>83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Full-Time Equivalency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Fall 2012</c:v>
                </c:pt>
                <c:pt idx="1">
                  <c:v>Fall 2013</c:v>
                </c:pt>
                <c:pt idx="3">
                  <c:v>Spring 2013</c:v>
                </c:pt>
                <c:pt idx="4">
                  <c:v>Spring 2014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74</c:v>
                </c:pt>
                <c:pt idx="1">
                  <c:v>79</c:v>
                </c:pt>
                <c:pt idx="3">
                  <c:v>58</c:v>
                </c:pt>
                <c:pt idx="4">
                  <c:v>69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4786432"/>
        <c:axId val="199750784"/>
      </c:lineChart>
      <c:catAx>
        <c:axId val="19478643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en-US"/>
          </a:p>
        </c:txPr>
        <c:crossAx val="199750784"/>
        <c:crosses val="autoZero"/>
        <c:auto val="1"/>
        <c:lblAlgn val="ctr"/>
        <c:lblOffset val="100"/>
        <c:noMultiLvlLbl val="0"/>
      </c:catAx>
      <c:valAx>
        <c:axId val="199750784"/>
        <c:scaling>
          <c:orientation val="minMax"/>
          <c:max val="100"/>
          <c:min val="5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47864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203084901236204"/>
          <c:y val="9.2115485564304461E-2"/>
          <c:w val="0.26393947840188525"/>
          <c:h val="0.75178683099395183"/>
        </c:manualLayout>
      </c:layout>
      <c:overlay val="0"/>
      <c:txPr>
        <a:bodyPr/>
        <a:lstStyle/>
        <a:p>
          <a:pPr>
            <a:defRPr sz="8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pvbi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L. Cooley, Sr.</dc:creator>
  <cp:keywords/>
  <dc:description/>
  <cp:lastModifiedBy>Timothy L. Cooley, Sr.</cp:lastModifiedBy>
  <cp:revision>9</cp:revision>
  <cp:lastPrinted>2014-02-14T22:10:00Z</cp:lastPrinted>
  <dcterms:created xsi:type="dcterms:W3CDTF">2014-02-12T19:43:00Z</dcterms:created>
  <dcterms:modified xsi:type="dcterms:W3CDTF">2014-02-14T22:10:00Z</dcterms:modified>
</cp:coreProperties>
</file>